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A0E" w:rsidRDefault="00E66A0E" w:rsidP="00306F85">
      <w:r>
        <w:t>Cartografia de um mundo imaginário</w:t>
      </w:r>
    </w:p>
    <w:p w:rsidR="00E66A0E" w:rsidRDefault="00E66A0E" w:rsidP="00E66A0E">
      <w:pPr>
        <w:jc w:val="right"/>
      </w:pPr>
      <w:r>
        <w:t xml:space="preserve">Felipe </w:t>
      </w:r>
      <w:proofErr w:type="spellStart"/>
      <w:r>
        <w:t>Scovino</w:t>
      </w:r>
      <w:proofErr w:type="spellEnd"/>
    </w:p>
    <w:p w:rsidR="00E66A0E" w:rsidRDefault="00E66A0E" w:rsidP="00306F85"/>
    <w:p w:rsidR="00901F9A" w:rsidRDefault="00131DE4" w:rsidP="00306F85">
      <w:r>
        <w:tab/>
        <w:t xml:space="preserve">Desde </w:t>
      </w:r>
      <w:proofErr w:type="gramStart"/>
      <w:r>
        <w:t>2011 Pedro Varela</w:t>
      </w:r>
      <w:proofErr w:type="gramEnd"/>
      <w:r>
        <w:t xml:space="preserve"> vem explorando uma nova fase em sua produção, que é definitivamente o que se apresenta nessa exposição. São pinturas em acrílica cujo mote advém do conceito de natureza morta, mas para discutir esse ponto voltarei daqui a pouco. O curioso é colocar esse “novo” em questão. O trabalho de Varela se constitui em uma coerência que cada vez mais se acentua. Mesmo sendo pinturas, a instância do desenho e de sua delicadeza mais sutil elaborada – características de fases de outrora – estão presentes. É uma pintura que se alimenta do desenho, e vice-versa.</w:t>
      </w:r>
      <w:r w:rsidR="00306F85">
        <w:t xml:space="preserve"> O pincel em determinados momentos vira uma ponta seca, tal a precisão e a suavidade com que essas ornamentações são criadas. Varela abdica do caráter </w:t>
      </w:r>
      <w:proofErr w:type="spellStart"/>
      <w:r w:rsidR="00306F85">
        <w:t>projetual</w:t>
      </w:r>
      <w:proofErr w:type="spellEnd"/>
      <w:r w:rsidR="00306F85">
        <w:t xml:space="preserve"> que o desenho poderia ter, para incluí-lo, experimentá-lo e condensá-lo à pintura. Uma suposta autonomia que eles – pintura e o desenho - poderiam ter é desmascarada por essa confluência que a obra de Varela emprega.</w:t>
      </w:r>
      <w:r w:rsidR="00267167">
        <w:t xml:space="preserve"> Por outro lado, a aquosidade do acrílico empregado pelo artista reordena aquilo que poderíamos chamar de erro, isto é, o transbordamento</w:t>
      </w:r>
      <w:r w:rsidR="00400911">
        <w:t xml:space="preserve"> da tinta não é algo fortuito</w:t>
      </w:r>
      <w:proofErr w:type="gramStart"/>
      <w:r w:rsidR="00400911">
        <w:t xml:space="preserve"> mas</w:t>
      </w:r>
      <w:proofErr w:type="gramEnd"/>
      <w:r w:rsidR="00400911">
        <w:t xml:space="preserve">, pelo contrário, as marcas, texturas e manchas tecem uma ambientação que reforça a </w:t>
      </w:r>
      <w:proofErr w:type="spellStart"/>
      <w:r w:rsidR="00400911">
        <w:t>ideia</w:t>
      </w:r>
      <w:proofErr w:type="spellEnd"/>
      <w:r w:rsidR="00400911">
        <w:t xml:space="preserve"> dessa natureza estar flutuando. Esse dado etéreo, construindo um jogo de sombras e volumes</w:t>
      </w:r>
      <w:r w:rsidR="00301C72">
        <w:t xml:space="preserve"> que denota essa</w:t>
      </w:r>
      <w:r w:rsidR="00400911">
        <w:t xml:space="preserve"> suspensão da </w:t>
      </w:r>
      <w:r w:rsidR="00301C72">
        <w:t>matéria aliado ao fato de Varela retirar os objetos de sua banalidade e seu prosaísmo</w:t>
      </w:r>
      <w:r w:rsidR="00400911">
        <w:t xml:space="preserve"> encontra ressonâncias nas influências assumidas d</w:t>
      </w:r>
      <w:r w:rsidR="00301C72">
        <w:t>o artista</w:t>
      </w:r>
      <w:r w:rsidR="008D3FD4">
        <w:t>:</w:t>
      </w:r>
      <w:r w:rsidR="00400911">
        <w:t xml:space="preserve"> </w:t>
      </w:r>
      <w:proofErr w:type="spellStart"/>
      <w:r w:rsidR="00400911">
        <w:t>Archimboldo</w:t>
      </w:r>
      <w:proofErr w:type="spellEnd"/>
      <w:r w:rsidR="008D3FD4">
        <w:t xml:space="preserve">, </w:t>
      </w:r>
      <w:proofErr w:type="spellStart"/>
      <w:r w:rsidR="008D3FD4">
        <w:t>Eckhout</w:t>
      </w:r>
      <w:proofErr w:type="spellEnd"/>
      <w:r w:rsidR="00400911">
        <w:t xml:space="preserve"> </w:t>
      </w:r>
      <w:r w:rsidR="008D3FD4">
        <w:t>e</w:t>
      </w:r>
      <w:r w:rsidR="00400911">
        <w:t xml:space="preserve"> Guignard.</w:t>
      </w:r>
      <w:r w:rsidR="00276AB7">
        <w:t xml:space="preserve"> </w:t>
      </w:r>
      <w:proofErr w:type="gramStart"/>
      <w:r w:rsidR="00301C72">
        <w:t xml:space="preserve">Este, </w:t>
      </w:r>
      <w:r w:rsidR="00901F9A">
        <w:t>ainda mais</w:t>
      </w:r>
      <w:r w:rsidR="00301C72">
        <w:t>, por conta</w:t>
      </w:r>
      <w:r w:rsidR="00901F9A">
        <w:t xml:space="preserve"> do desempenho </w:t>
      </w:r>
      <w:proofErr w:type="spellStart"/>
      <w:r w:rsidR="00901F9A">
        <w:t>problematizador</w:t>
      </w:r>
      <w:proofErr w:type="spellEnd"/>
      <w:proofErr w:type="gramEnd"/>
      <w:r w:rsidR="00901F9A">
        <w:t xml:space="preserve"> do seu trabalho na concepção da chamada pintura de paisagem, e em especial o seu gosto pelo caprichoso e pelo decorativo.</w:t>
      </w:r>
    </w:p>
    <w:p w:rsidR="00267167" w:rsidRDefault="00306F85" w:rsidP="00306F85">
      <w:r>
        <w:tab/>
        <w:t xml:space="preserve">A natureza morta é algo que se confunde com a própria história da arte, e com a </w:t>
      </w:r>
      <w:proofErr w:type="spellStart"/>
      <w:r>
        <w:t>ideia</w:t>
      </w:r>
      <w:proofErr w:type="spellEnd"/>
      <w:r>
        <w:t xml:space="preserve"> de moderno, se nos detivermos ao exemplo de Cézanne. </w:t>
      </w:r>
      <w:r w:rsidR="00A565AE">
        <w:t>Contudo, na obra de Varela o “modelo tradicional” de natureza morta é substituído por uma vegetação que habita uma zona fronteiriça entre fantasia e realidade. Perguntamo-nos se estas plantas existem. Provavelmente, mas existe uma chance. Elas poderiam existir, talvez, a léguas e léguas no fundo do mar, e</w:t>
      </w:r>
      <w:proofErr w:type="gramStart"/>
      <w:r w:rsidR="00A565AE">
        <w:t xml:space="preserve"> portanto</w:t>
      </w:r>
      <w:proofErr w:type="gramEnd"/>
      <w:r w:rsidR="00A565AE">
        <w:t xml:space="preserve"> nunca teríamos certeza da existência delas. Varela nos apresenta, pouco a pouco, a cartografia de um mundo imaginário, </w:t>
      </w:r>
      <w:r w:rsidR="00267167">
        <w:t xml:space="preserve">como se em algum momento e de alguma forma ele pudesse existir, </w:t>
      </w:r>
      <w:r w:rsidR="00A565AE">
        <w:t>que acaba por se conectar com as “fabulações produzidas pelo mundo real”, tais como a literatura (fantástica, passando por Júlio Verne) ou o cinema (os filmes de ficção científica ou os chamados “filmes de aventura”).</w:t>
      </w:r>
      <w:r w:rsidR="00920E96">
        <w:t xml:space="preserve"> </w:t>
      </w:r>
      <w:r w:rsidR="00267167">
        <w:t>Essa contradição</w:t>
      </w:r>
      <w:r w:rsidR="005F1B8B">
        <w:t xml:space="preserve"> -</w:t>
      </w:r>
      <w:r w:rsidR="00267167">
        <w:t xml:space="preserve"> </w:t>
      </w:r>
      <w:r w:rsidR="005F1B8B">
        <w:t>d</w:t>
      </w:r>
      <w:r w:rsidR="00267167">
        <w:t xml:space="preserve">a aparição </w:t>
      </w:r>
      <w:r w:rsidR="005F1B8B">
        <w:t xml:space="preserve">da forma - </w:t>
      </w:r>
      <w:r w:rsidR="00267167">
        <w:t>é explorada pela própria dificuldade histórica em se encontrar o pigmento azul.</w:t>
      </w:r>
    </w:p>
    <w:p w:rsidR="00A565AE" w:rsidRPr="00AE260D" w:rsidRDefault="00920E96" w:rsidP="00754F62">
      <w:pPr>
        <w:ind w:firstLine="708"/>
        <w:rPr>
          <w:rFonts w:cstheme="minorHAnsi"/>
        </w:rPr>
      </w:pPr>
      <w:r w:rsidRPr="00AE260D">
        <w:rPr>
          <w:rFonts w:cstheme="minorHAnsi"/>
        </w:rPr>
        <w:t xml:space="preserve">Suas naturezas mortas variam entre um estereótipo (psicodélico) da </w:t>
      </w:r>
      <w:proofErr w:type="spellStart"/>
      <w:r w:rsidRPr="00AE260D">
        <w:rPr>
          <w:rFonts w:cstheme="minorHAnsi"/>
        </w:rPr>
        <w:t>tropicalidade</w:t>
      </w:r>
      <w:proofErr w:type="spellEnd"/>
      <w:r w:rsidRPr="00AE260D">
        <w:rPr>
          <w:rFonts w:cstheme="minorHAnsi"/>
        </w:rPr>
        <w:t xml:space="preserve"> e o kitsch.</w:t>
      </w:r>
      <w:r w:rsidR="008D3FD4" w:rsidRPr="00AE260D">
        <w:rPr>
          <w:rFonts w:cstheme="minorHAnsi"/>
        </w:rPr>
        <w:t xml:space="preserve"> </w:t>
      </w:r>
      <w:r w:rsidR="00AE260D" w:rsidRPr="00AE260D">
        <w:rPr>
          <w:rFonts w:cstheme="minorHAnsi"/>
        </w:rPr>
        <w:t xml:space="preserve">A chamada pintura de paisagem assim como o desenvolvimento da natureza morta </w:t>
      </w:r>
      <w:r w:rsidR="00AE260D">
        <w:rPr>
          <w:rFonts w:cstheme="minorHAnsi"/>
        </w:rPr>
        <w:t xml:space="preserve">e do retrato </w:t>
      </w:r>
      <w:r w:rsidR="00AE260D" w:rsidRPr="00AE260D">
        <w:rPr>
          <w:rFonts w:cstheme="minorHAnsi"/>
        </w:rPr>
        <w:t>na história da arte brasileira entre os séculos XVII e XIX possu</w:t>
      </w:r>
      <w:r w:rsidR="006E4B9B">
        <w:rPr>
          <w:rFonts w:cstheme="minorHAnsi"/>
        </w:rPr>
        <w:t>em</w:t>
      </w:r>
      <w:r w:rsidR="00AE260D" w:rsidRPr="00AE260D">
        <w:rPr>
          <w:rFonts w:cstheme="minorHAnsi"/>
        </w:rPr>
        <w:t xml:space="preserve"> um caráter de construção de uma identidade e de um lugar que nã</w:t>
      </w:r>
      <w:r w:rsidR="00AE260D">
        <w:rPr>
          <w:rFonts w:cstheme="minorHAnsi"/>
        </w:rPr>
        <w:t>o necessariamente correspondia</w:t>
      </w:r>
      <w:r w:rsidR="006E4B9B">
        <w:rPr>
          <w:rFonts w:cstheme="minorHAnsi"/>
        </w:rPr>
        <w:t>m</w:t>
      </w:r>
      <w:r w:rsidR="00AE260D">
        <w:rPr>
          <w:rFonts w:cstheme="minorHAnsi"/>
        </w:rPr>
        <w:t xml:space="preserve"> à</w:t>
      </w:r>
      <w:r w:rsidR="00AE260D" w:rsidRPr="00AE260D">
        <w:rPr>
          <w:rFonts w:cstheme="minorHAnsi"/>
        </w:rPr>
        <w:t xml:space="preserve"> realidade</w:t>
      </w:r>
      <w:r w:rsidR="006E4B9B">
        <w:rPr>
          <w:rFonts w:cstheme="minorHAnsi"/>
        </w:rPr>
        <w:t>, mas que criaram e sustentaram por muito tempo uma série de mitos e alegorias sobre o que deveria ser o Brasil</w:t>
      </w:r>
      <w:r w:rsidR="00AE260D" w:rsidRPr="00AE260D">
        <w:rPr>
          <w:rFonts w:cstheme="minorHAnsi"/>
        </w:rPr>
        <w:t xml:space="preserve">. Como acentua Barbara </w:t>
      </w:r>
      <w:proofErr w:type="spellStart"/>
      <w:r w:rsidR="00AE260D" w:rsidRPr="00AE260D">
        <w:rPr>
          <w:rFonts w:cstheme="minorHAnsi"/>
        </w:rPr>
        <w:t>Berlowicz</w:t>
      </w:r>
      <w:proofErr w:type="spellEnd"/>
      <w:r w:rsidR="006E4B9B">
        <w:rPr>
          <w:rFonts w:cstheme="minorHAnsi"/>
        </w:rPr>
        <w:t xml:space="preserve"> </w:t>
      </w:r>
      <w:r w:rsidR="00AE260D">
        <w:rPr>
          <w:rFonts w:cstheme="minorHAnsi"/>
        </w:rPr>
        <w:t xml:space="preserve">sobre a obra de </w:t>
      </w:r>
      <w:proofErr w:type="spellStart"/>
      <w:r w:rsidR="00AE260D">
        <w:rPr>
          <w:rFonts w:cstheme="minorHAnsi"/>
        </w:rPr>
        <w:t>Eckhout</w:t>
      </w:r>
      <w:proofErr w:type="spellEnd"/>
      <w:r w:rsidR="006E4B9B">
        <w:rPr>
          <w:rFonts w:cstheme="minorHAnsi"/>
        </w:rPr>
        <w:t>:</w:t>
      </w:r>
      <w:r w:rsidR="00AE260D" w:rsidRPr="00AE260D">
        <w:rPr>
          <w:rFonts w:cstheme="minorHAnsi"/>
        </w:rPr>
        <w:t xml:space="preserve"> “</w:t>
      </w:r>
      <w:r w:rsidR="006E4B9B">
        <w:rPr>
          <w:rFonts w:cstheme="minorHAnsi"/>
        </w:rPr>
        <w:t>O</w:t>
      </w:r>
      <w:r w:rsidR="00AE260D" w:rsidRPr="00AE260D">
        <w:rPr>
          <w:rFonts w:cstheme="minorHAnsi"/>
        </w:rPr>
        <w:t xml:space="preserve"> escravo negro com sua espada majestosa, a arma preciosa do mestiço e, sobretudo, a mulher </w:t>
      </w:r>
      <w:r w:rsidR="00AE260D" w:rsidRPr="00AE260D">
        <w:rPr>
          <w:rFonts w:cstheme="minorHAnsi"/>
        </w:rPr>
        <w:lastRenderedPageBreak/>
        <w:t>canibal Tapuia segurando restos de um corpo humano estão em tão perfeita consonância com a visão e o esquema preconcebidos do mundo não europeu, que se mostrariam falsos se submetidos a um exame acurado.</w:t>
      </w:r>
      <w:proofErr w:type="gramStart"/>
      <w:r w:rsidR="00AE260D" w:rsidRPr="00AE260D">
        <w:rPr>
          <w:rFonts w:cstheme="minorHAnsi"/>
        </w:rPr>
        <w:t>”</w:t>
      </w:r>
      <w:proofErr w:type="gramEnd"/>
      <w:r w:rsidR="00AE260D">
        <w:rPr>
          <w:rStyle w:val="Refdenotadefim"/>
          <w:rFonts w:cstheme="minorHAnsi"/>
        </w:rPr>
        <w:endnoteReference w:id="1"/>
      </w:r>
      <w:r w:rsidR="00AE260D">
        <w:rPr>
          <w:rFonts w:cstheme="minorHAnsi"/>
        </w:rPr>
        <w:t xml:space="preserve"> </w:t>
      </w:r>
      <w:r w:rsidR="00453E14">
        <w:rPr>
          <w:rFonts w:cstheme="minorHAnsi"/>
        </w:rPr>
        <w:t xml:space="preserve">É um exemplo de o quanto o estereótipo a respeito do nosso (suposto) exotismo é documentado/sustentado </w:t>
      </w:r>
      <w:r w:rsidR="006E4B9B">
        <w:rPr>
          <w:rFonts w:cstheme="minorHAnsi"/>
        </w:rPr>
        <w:t>há</w:t>
      </w:r>
      <w:r w:rsidR="00453E14">
        <w:rPr>
          <w:rFonts w:cstheme="minorHAnsi"/>
        </w:rPr>
        <w:t xml:space="preserve"> muito tempo.</w:t>
      </w:r>
      <w:r w:rsidR="006E4B9B">
        <w:rPr>
          <w:rFonts w:cstheme="minorHAnsi"/>
        </w:rPr>
        <w:t xml:space="preserve"> Uma </w:t>
      </w:r>
      <w:proofErr w:type="spellStart"/>
      <w:r w:rsidR="006E4B9B">
        <w:rPr>
          <w:rFonts w:cstheme="minorHAnsi"/>
        </w:rPr>
        <w:t>tropicalidade</w:t>
      </w:r>
      <w:proofErr w:type="spellEnd"/>
      <w:r w:rsidR="006E4B9B">
        <w:rPr>
          <w:rFonts w:cstheme="minorHAnsi"/>
        </w:rPr>
        <w:t xml:space="preserve"> que varia entre o mito da malandragem e </w:t>
      </w:r>
      <w:r w:rsidR="00643359">
        <w:rPr>
          <w:rFonts w:cstheme="minorHAnsi"/>
        </w:rPr>
        <w:t>do gingado</w:t>
      </w:r>
      <w:r w:rsidR="006E4B9B">
        <w:rPr>
          <w:rFonts w:cstheme="minorHAnsi"/>
        </w:rPr>
        <w:t xml:space="preserve"> aos tecidos kitsch de mesa de bar e cortina. </w:t>
      </w:r>
      <w:r w:rsidR="00280174">
        <w:rPr>
          <w:rFonts w:cstheme="minorHAnsi"/>
        </w:rPr>
        <w:t xml:space="preserve">E é </w:t>
      </w:r>
      <w:r w:rsidR="00643359">
        <w:rPr>
          <w:rFonts w:cstheme="minorHAnsi"/>
        </w:rPr>
        <w:t>esse último exemplo aliando-se a um</w:t>
      </w:r>
      <w:r w:rsidR="00280174">
        <w:rPr>
          <w:rFonts w:cstheme="minorHAnsi"/>
        </w:rPr>
        <w:t xml:space="preserve"> dado do jocoso, de uma fina perversidade, de contrapor ao desejo do que se espera ver que a natureza morta de Pedro Varela também se faz.</w:t>
      </w:r>
    </w:p>
    <w:sectPr w:rsidR="00A565AE" w:rsidRPr="00AE260D" w:rsidSect="00C17D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15C" w:rsidRDefault="0045115C" w:rsidP="00AE260D">
      <w:pPr>
        <w:spacing w:after="0" w:line="240" w:lineRule="auto"/>
      </w:pPr>
      <w:r>
        <w:separator/>
      </w:r>
    </w:p>
  </w:endnote>
  <w:endnote w:type="continuationSeparator" w:id="0">
    <w:p w:rsidR="0045115C" w:rsidRDefault="0045115C" w:rsidP="00AE260D">
      <w:pPr>
        <w:spacing w:after="0" w:line="240" w:lineRule="auto"/>
      </w:pPr>
      <w:r>
        <w:continuationSeparator/>
      </w:r>
    </w:p>
  </w:endnote>
  <w:endnote w:id="1">
    <w:p w:rsidR="00AE260D" w:rsidRPr="00AE260D" w:rsidRDefault="00AE260D" w:rsidP="00AE260D">
      <w:pPr>
        <w:pStyle w:val="NormalWeb"/>
        <w:rPr>
          <w:rFonts w:asciiTheme="minorHAnsi" w:hAnsiTheme="minorHAnsi" w:cstheme="minorHAnsi"/>
          <w:sz w:val="18"/>
          <w:szCs w:val="18"/>
        </w:rPr>
      </w:pPr>
      <w:r w:rsidRPr="00AE260D">
        <w:rPr>
          <w:rStyle w:val="Refdenotadefim"/>
          <w:rFonts w:asciiTheme="minorHAnsi" w:hAnsiTheme="minorHAnsi" w:cstheme="minorHAnsi"/>
          <w:sz w:val="18"/>
          <w:szCs w:val="18"/>
        </w:rPr>
        <w:endnoteRef/>
      </w:r>
      <w:r w:rsidRPr="00AE260D">
        <w:rPr>
          <w:rFonts w:asciiTheme="minorHAnsi" w:hAnsiTheme="minorHAnsi" w:cstheme="minorHAnsi"/>
          <w:sz w:val="18"/>
          <w:szCs w:val="18"/>
        </w:rPr>
        <w:t xml:space="preserve"> BERLOWICZ, Barbara. Pinturas de Alberto </w:t>
      </w:r>
      <w:proofErr w:type="spellStart"/>
      <w:r w:rsidRPr="00AE260D">
        <w:rPr>
          <w:rFonts w:asciiTheme="minorHAnsi" w:hAnsiTheme="minorHAnsi" w:cstheme="minorHAnsi"/>
          <w:sz w:val="18"/>
          <w:szCs w:val="18"/>
        </w:rPr>
        <w:t>Eckhout</w:t>
      </w:r>
      <w:proofErr w:type="spellEnd"/>
      <w:r w:rsidRPr="00AE260D">
        <w:rPr>
          <w:rFonts w:asciiTheme="minorHAnsi" w:hAnsiTheme="minorHAnsi" w:cstheme="minorHAnsi"/>
          <w:sz w:val="18"/>
          <w:szCs w:val="18"/>
        </w:rPr>
        <w:t xml:space="preserve"> - Interpretação de Conteúdo e Técnica. In: VRIES, Elly </w:t>
      </w:r>
      <w:proofErr w:type="gramStart"/>
      <w:r w:rsidRPr="00AE260D">
        <w:rPr>
          <w:rFonts w:asciiTheme="minorHAnsi" w:hAnsiTheme="minorHAnsi" w:cstheme="minorHAnsi"/>
          <w:sz w:val="18"/>
          <w:szCs w:val="18"/>
        </w:rPr>
        <w:t>de</w:t>
      </w:r>
      <w:r w:rsidR="0049075C">
        <w:rPr>
          <w:rFonts w:asciiTheme="minorHAnsi" w:hAnsiTheme="minorHAnsi" w:cstheme="minorHAnsi"/>
          <w:sz w:val="18"/>
          <w:szCs w:val="18"/>
        </w:rPr>
        <w:t>;</w:t>
      </w:r>
      <w:proofErr w:type="gramEnd"/>
      <w:r w:rsidR="0049075C">
        <w:rPr>
          <w:rFonts w:asciiTheme="minorHAnsi" w:hAnsiTheme="minorHAnsi" w:cstheme="minorHAnsi"/>
          <w:sz w:val="18"/>
          <w:szCs w:val="18"/>
        </w:rPr>
        <w:t xml:space="preserve"> </w:t>
      </w:r>
      <w:r w:rsidRPr="00AE260D">
        <w:rPr>
          <w:rFonts w:asciiTheme="minorHAnsi" w:hAnsiTheme="minorHAnsi" w:cstheme="minorHAnsi"/>
          <w:sz w:val="18"/>
          <w:szCs w:val="18"/>
        </w:rPr>
        <w:t xml:space="preserve">DOURADO, Guilherme </w:t>
      </w:r>
      <w:proofErr w:type="spellStart"/>
      <w:r w:rsidRPr="00AE260D">
        <w:rPr>
          <w:rFonts w:asciiTheme="minorHAnsi" w:hAnsiTheme="minorHAnsi" w:cstheme="minorHAnsi"/>
          <w:sz w:val="18"/>
          <w:szCs w:val="18"/>
        </w:rPr>
        <w:t>Mazza</w:t>
      </w:r>
      <w:proofErr w:type="spellEnd"/>
      <w:r w:rsidRPr="00AE260D">
        <w:rPr>
          <w:rFonts w:asciiTheme="minorHAnsi" w:hAnsiTheme="minorHAnsi" w:cstheme="minorHAnsi"/>
          <w:sz w:val="18"/>
          <w:szCs w:val="18"/>
        </w:rPr>
        <w:t xml:space="preserve"> (org.). </w:t>
      </w:r>
      <w:r w:rsidRPr="00AE260D">
        <w:rPr>
          <w:rStyle w:val="nfase"/>
          <w:rFonts w:asciiTheme="minorHAnsi" w:hAnsiTheme="minorHAnsi" w:cstheme="minorHAnsi"/>
          <w:sz w:val="18"/>
          <w:szCs w:val="18"/>
        </w:rPr>
        <w:t xml:space="preserve">Albert </w:t>
      </w:r>
      <w:proofErr w:type="spellStart"/>
      <w:r w:rsidRPr="00AE260D">
        <w:rPr>
          <w:rStyle w:val="nfase"/>
          <w:rFonts w:asciiTheme="minorHAnsi" w:hAnsiTheme="minorHAnsi" w:cstheme="minorHAnsi"/>
          <w:sz w:val="18"/>
          <w:szCs w:val="18"/>
        </w:rPr>
        <w:t>Eckhout</w:t>
      </w:r>
      <w:proofErr w:type="spellEnd"/>
      <w:r w:rsidRPr="00AE260D">
        <w:rPr>
          <w:rStyle w:val="nfase"/>
          <w:rFonts w:asciiTheme="minorHAnsi" w:hAnsiTheme="minorHAnsi" w:cstheme="minorHAnsi"/>
          <w:sz w:val="18"/>
          <w:szCs w:val="18"/>
        </w:rPr>
        <w:t xml:space="preserve"> volta ao Brasil:</w:t>
      </w:r>
      <w:r w:rsidRPr="00AE260D">
        <w:rPr>
          <w:rFonts w:asciiTheme="minorHAnsi" w:hAnsiTheme="minorHAnsi" w:cstheme="minorHAnsi"/>
          <w:sz w:val="18"/>
          <w:szCs w:val="18"/>
        </w:rPr>
        <w:t xml:space="preserve"> 1644-2002. Copenhagen: </w:t>
      </w:r>
      <w:proofErr w:type="spellStart"/>
      <w:r w:rsidRPr="00AE260D">
        <w:rPr>
          <w:rFonts w:asciiTheme="minorHAnsi" w:hAnsiTheme="minorHAnsi" w:cstheme="minorHAnsi"/>
          <w:sz w:val="18"/>
          <w:szCs w:val="18"/>
        </w:rPr>
        <w:t>National</w:t>
      </w:r>
      <w:proofErr w:type="spellEnd"/>
      <w:r w:rsidRPr="00AE260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E260D">
        <w:rPr>
          <w:rFonts w:asciiTheme="minorHAnsi" w:hAnsiTheme="minorHAnsi" w:cstheme="minorHAnsi"/>
          <w:sz w:val="18"/>
          <w:szCs w:val="18"/>
        </w:rPr>
        <w:t>Museum</w:t>
      </w:r>
      <w:proofErr w:type="spellEnd"/>
      <w:r w:rsidRPr="00AE260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E260D">
        <w:rPr>
          <w:rFonts w:asciiTheme="minorHAnsi" w:hAnsiTheme="minorHAnsi" w:cstheme="minorHAnsi"/>
          <w:sz w:val="18"/>
          <w:szCs w:val="18"/>
        </w:rPr>
        <w:t>of</w:t>
      </w:r>
      <w:proofErr w:type="spellEnd"/>
      <w:r w:rsidRPr="00AE260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E260D">
        <w:rPr>
          <w:rFonts w:asciiTheme="minorHAnsi" w:hAnsiTheme="minorHAnsi" w:cstheme="minorHAnsi"/>
          <w:sz w:val="18"/>
          <w:szCs w:val="18"/>
        </w:rPr>
        <w:t>Denmark</w:t>
      </w:r>
      <w:proofErr w:type="spellEnd"/>
      <w:r w:rsidRPr="00AE260D">
        <w:rPr>
          <w:rFonts w:asciiTheme="minorHAnsi" w:hAnsiTheme="minorHAnsi" w:cstheme="minorHAnsi"/>
          <w:sz w:val="18"/>
          <w:szCs w:val="18"/>
        </w:rPr>
        <w:t>, 2002</w:t>
      </w:r>
      <w:r w:rsidR="0049075C">
        <w:rPr>
          <w:rFonts w:asciiTheme="minorHAnsi" w:hAnsiTheme="minorHAnsi" w:cstheme="minorHAnsi"/>
          <w:sz w:val="18"/>
          <w:szCs w:val="18"/>
        </w:rPr>
        <w:t>,</w:t>
      </w:r>
      <w:r w:rsidRPr="00AE260D">
        <w:rPr>
          <w:rFonts w:asciiTheme="minorHAnsi" w:hAnsiTheme="minorHAnsi" w:cstheme="minorHAnsi"/>
          <w:sz w:val="18"/>
          <w:szCs w:val="18"/>
        </w:rPr>
        <w:t xml:space="preserve"> p. 206-207.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15C" w:rsidRDefault="0045115C" w:rsidP="00AE260D">
      <w:pPr>
        <w:spacing w:after="0" w:line="240" w:lineRule="auto"/>
      </w:pPr>
      <w:r>
        <w:separator/>
      </w:r>
    </w:p>
  </w:footnote>
  <w:footnote w:type="continuationSeparator" w:id="0">
    <w:p w:rsidR="0045115C" w:rsidRDefault="0045115C" w:rsidP="00AE26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1DE4"/>
    <w:rsid w:val="00017299"/>
    <w:rsid w:val="000243B3"/>
    <w:rsid w:val="0003735D"/>
    <w:rsid w:val="000426C1"/>
    <w:rsid w:val="0006686B"/>
    <w:rsid w:val="00070BAA"/>
    <w:rsid w:val="00074EE6"/>
    <w:rsid w:val="00085942"/>
    <w:rsid w:val="000B1741"/>
    <w:rsid w:val="000B51D9"/>
    <w:rsid w:val="000C3500"/>
    <w:rsid w:val="000D3FD4"/>
    <w:rsid w:val="000D4C78"/>
    <w:rsid w:val="000E20B6"/>
    <w:rsid w:val="000F0753"/>
    <w:rsid w:val="00112FD8"/>
    <w:rsid w:val="0012585C"/>
    <w:rsid w:val="00131DE4"/>
    <w:rsid w:val="001419C5"/>
    <w:rsid w:val="001556A1"/>
    <w:rsid w:val="00157491"/>
    <w:rsid w:val="00193030"/>
    <w:rsid w:val="001940A2"/>
    <w:rsid w:val="001B6E75"/>
    <w:rsid w:val="001E3695"/>
    <w:rsid w:val="001F281D"/>
    <w:rsid w:val="00211885"/>
    <w:rsid w:val="002400FD"/>
    <w:rsid w:val="002546D9"/>
    <w:rsid w:val="00267167"/>
    <w:rsid w:val="00275229"/>
    <w:rsid w:val="00276AB7"/>
    <w:rsid w:val="00276CE9"/>
    <w:rsid w:val="00280174"/>
    <w:rsid w:val="00280378"/>
    <w:rsid w:val="0029052F"/>
    <w:rsid w:val="002D228C"/>
    <w:rsid w:val="002F0D46"/>
    <w:rsid w:val="002F6C2D"/>
    <w:rsid w:val="00301C72"/>
    <w:rsid w:val="00305C60"/>
    <w:rsid w:val="00306F85"/>
    <w:rsid w:val="00314159"/>
    <w:rsid w:val="00315B2D"/>
    <w:rsid w:val="003274C0"/>
    <w:rsid w:val="003632AF"/>
    <w:rsid w:val="00397715"/>
    <w:rsid w:val="003B3167"/>
    <w:rsid w:val="003C3342"/>
    <w:rsid w:val="003C4BDF"/>
    <w:rsid w:val="003C73B9"/>
    <w:rsid w:val="003D314D"/>
    <w:rsid w:val="003E4945"/>
    <w:rsid w:val="00400911"/>
    <w:rsid w:val="0040306B"/>
    <w:rsid w:val="0045115C"/>
    <w:rsid w:val="00453E14"/>
    <w:rsid w:val="00455255"/>
    <w:rsid w:val="0049075C"/>
    <w:rsid w:val="0049269E"/>
    <w:rsid w:val="0049438D"/>
    <w:rsid w:val="004A020C"/>
    <w:rsid w:val="004A2E08"/>
    <w:rsid w:val="004A52B1"/>
    <w:rsid w:val="004B63FE"/>
    <w:rsid w:val="004C166B"/>
    <w:rsid w:val="004C51B9"/>
    <w:rsid w:val="004D065E"/>
    <w:rsid w:val="004D0C64"/>
    <w:rsid w:val="00500B21"/>
    <w:rsid w:val="00520379"/>
    <w:rsid w:val="005215EA"/>
    <w:rsid w:val="00524255"/>
    <w:rsid w:val="005335B6"/>
    <w:rsid w:val="00537AB9"/>
    <w:rsid w:val="00551E13"/>
    <w:rsid w:val="005710EB"/>
    <w:rsid w:val="005756B4"/>
    <w:rsid w:val="00587747"/>
    <w:rsid w:val="00597AE1"/>
    <w:rsid w:val="005D3106"/>
    <w:rsid w:val="005E0D17"/>
    <w:rsid w:val="005F1B8B"/>
    <w:rsid w:val="00601487"/>
    <w:rsid w:val="00601980"/>
    <w:rsid w:val="00601CC6"/>
    <w:rsid w:val="00601EC9"/>
    <w:rsid w:val="00603814"/>
    <w:rsid w:val="00625F6D"/>
    <w:rsid w:val="00643359"/>
    <w:rsid w:val="006701AE"/>
    <w:rsid w:val="00671120"/>
    <w:rsid w:val="00671AA4"/>
    <w:rsid w:val="00675588"/>
    <w:rsid w:val="00687921"/>
    <w:rsid w:val="006C18A0"/>
    <w:rsid w:val="006C492F"/>
    <w:rsid w:val="006C4DEB"/>
    <w:rsid w:val="006C5784"/>
    <w:rsid w:val="006E256D"/>
    <w:rsid w:val="006E29D1"/>
    <w:rsid w:val="006E4B9B"/>
    <w:rsid w:val="006E4DF7"/>
    <w:rsid w:val="006F1D8F"/>
    <w:rsid w:val="007003CF"/>
    <w:rsid w:val="00702D0E"/>
    <w:rsid w:val="007123BD"/>
    <w:rsid w:val="00727949"/>
    <w:rsid w:val="00754B9B"/>
    <w:rsid w:val="00754F62"/>
    <w:rsid w:val="00762A4F"/>
    <w:rsid w:val="00764B47"/>
    <w:rsid w:val="0076757B"/>
    <w:rsid w:val="00782C61"/>
    <w:rsid w:val="0078331D"/>
    <w:rsid w:val="007B2B10"/>
    <w:rsid w:val="007B7C23"/>
    <w:rsid w:val="007C5E9F"/>
    <w:rsid w:val="007C7674"/>
    <w:rsid w:val="007D2731"/>
    <w:rsid w:val="007D39FC"/>
    <w:rsid w:val="007E3196"/>
    <w:rsid w:val="007F0472"/>
    <w:rsid w:val="007F1378"/>
    <w:rsid w:val="007F2841"/>
    <w:rsid w:val="007F57A2"/>
    <w:rsid w:val="00801ACA"/>
    <w:rsid w:val="00807AB4"/>
    <w:rsid w:val="0082091F"/>
    <w:rsid w:val="008479AE"/>
    <w:rsid w:val="008632C1"/>
    <w:rsid w:val="00871EA1"/>
    <w:rsid w:val="00877EB3"/>
    <w:rsid w:val="00884FC6"/>
    <w:rsid w:val="008868F9"/>
    <w:rsid w:val="008A2A36"/>
    <w:rsid w:val="008D3FD4"/>
    <w:rsid w:val="008E720D"/>
    <w:rsid w:val="008F22EB"/>
    <w:rsid w:val="00901F9A"/>
    <w:rsid w:val="00907976"/>
    <w:rsid w:val="0091313D"/>
    <w:rsid w:val="00920E96"/>
    <w:rsid w:val="00953E4C"/>
    <w:rsid w:val="00977EF5"/>
    <w:rsid w:val="0098380D"/>
    <w:rsid w:val="0099185D"/>
    <w:rsid w:val="009947F1"/>
    <w:rsid w:val="009B6DBB"/>
    <w:rsid w:val="009C3C7F"/>
    <w:rsid w:val="00A02568"/>
    <w:rsid w:val="00A06FEB"/>
    <w:rsid w:val="00A13CE2"/>
    <w:rsid w:val="00A21BA6"/>
    <w:rsid w:val="00A25BA7"/>
    <w:rsid w:val="00A30AC0"/>
    <w:rsid w:val="00A31373"/>
    <w:rsid w:val="00A40B8D"/>
    <w:rsid w:val="00A565AE"/>
    <w:rsid w:val="00A6693C"/>
    <w:rsid w:val="00A812EF"/>
    <w:rsid w:val="00AA085F"/>
    <w:rsid w:val="00AA6AE3"/>
    <w:rsid w:val="00AC1A8C"/>
    <w:rsid w:val="00AD66A9"/>
    <w:rsid w:val="00AE220B"/>
    <w:rsid w:val="00AE260D"/>
    <w:rsid w:val="00AF00CF"/>
    <w:rsid w:val="00B14ECB"/>
    <w:rsid w:val="00B24639"/>
    <w:rsid w:val="00B441A7"/>
    <w:rsid w:val="00BC1F17"/>
    <w:rsid w:val="00BC2C63"/>
    <w:rsid w:val="00BC5EAF"/>
    <w:rsid w:val="00BD77EE"/>
    <w:rsid w:val="00C112B0"/>
    <w:rsid w:val="00C17D80"/>
    <w:rsid w:val="00C27B24"/>
    <w:rsid w:val="00C41CA0"/>
    <w:rsid w:val="00C57B64"/>
    <w:rsid w:val="00C67F0A"/>
    <w:rsid w:val="00C766B7"/>
    <w:rsid w:val="00C81F9C"/>
    <w:rsid w:val="00CD0D9F"/>
    <w:rsid w:val="00CD2F87"/>
    <w:rsid w:val="00CD337C"/>
    <w:rsid w:val="00D00E88"/>
    <w:rsid w:val="00D07BC0"/>
    <w:rsid w:val="00D2017E"/>
    <w:rsid w:val="00D25EB7"/>
    <w:rsid w:val="00D43725"/>
    <w:rsid w:val="00D4448C"/>
    <w:rsid w:val="00D54DE2"/>
    <w:rsid w:val="00D7019C"/>
    <w:rsid w:val="00D845FF"/>
    <w:rsid w:val="00DD516A"/>
    <w:rsid w:val="00DE6F58"/>
    <w:rsid w:val="00E008AC"/>
    <w:rsid w:val="00E12EEF"/>
    <w:rsid w:val="00E16DCB"/>
    <w:rsid w:val="00E27850"/>
    <w:rsid w:val="00E27DD8"/>
    <w:rsid w:val="00E373A8"/>
    <w:rsid w:val="00E66A0E"/>
    <w:rsid w:val="00E74720"/>
    <w:rsid w:val="00E77990"/>
    <w:rsid w:val="00EB0248"/>
    <w:rsid w:val="00ED2A81"/>
    <w:rsid w:val="00EE1610"/>
    <w:rsid w:val="00EF4599"/>
    <w:rsid w:val="00F40C06"/>
    <w:rsid w:val="00F633EF"/>
    <w:rsid w:val="00F70757"/>
    <w:rsid w:val="00F904BA"/>
    <w:rsid w:val="00F9758C"/>
    <w:rsid w:val="00FA01B1"/>
    <w:rsid w:val="00FB3413"/>
    <w:rsid w:val="00FB487B"/>
    <w:rsid w:val="00FB4E34"/>
    <w:rsid w:val="00FC74E6"/>
    <w:rsid w:val="00FD0B77"/>
    <w:rsid w:val="00FD239F"/>
    <w:rsid w:val="00FD275D"/>
    <w:rsid w:val="00FE0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D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E260D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AE260D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AE260D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E2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AE260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89080-F36E-4234-A34C-E0D67BDDA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653</Words>
  <Characters>3305</Characters>
  <Application>Microsoft Office Word</Application>
  <DocSecurity>0</DocSecurity>
  <Lines>50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</dc:creator>
  <cp:lastModifiedBy>FELIPE</cp:lastModifiedBy>
  <cp:revision>26</cp:revision>
  <dcterms:created xsi:type="dcterms:W3CDTF">2012-01-06T12:37:00Z</dcterms:created>
  <dcterms:modified xsi:type="dcterms:W3CDTF">2012-01-06T15:07:00Z</dcterms:modified>
</cp:coreProperties>
</file>